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6F" w:rsidRDefault="00087B63" w:rsidP="00B611C3">
      <w:pPr>
        <w:jc w:val="center"/>
        <w:rPr>
          <w:rFonts w:ascii="Times New Roman" w:eastAsia="仿宋_GB2312" w:hAnsi="Times New Roman" w:cs="Times New Roman"/>
          <w:color w:val="000000" w:themeColor="text1"/>
          <w:sz w:val="32"/>
          <w:szCs w:val="32"/>
        </w:rPr>
      </w:pPr>
      <w:r w:rsidRPr="00C92B48">
        <w:rPr>
          <w:rFonts w:ascii="Times New Roman" w:eastAsia="仿宋_GB2312" w:hAnsi="Times New Roman" w:cs="Times New Roman"/>
          <w:color w:val="000000" w:themeColor="text1"/>
          <w:sz w:val="32"/>
          <w:szCs w:val="32"/>
          <w:lang w:val="fr-BE"/>
        </w:rPr>
        <w:t>Pièce jointe</w:t>
      </w:r>
      <w:r>
        <w:rPr>
          <w:rFonts w:ascii="Times New Roman" w:eastAsia="仿宋_GB2312" w:hAnsi="Times New Roman" w:cs="Times New Roman"/>
          <w:color w:val="000000" w:themeColor="text1"/>
          <w:sz w:val="32"/>
          <w:szCs w:val="32"/>
          <w:lang w:val="fr-BE"/>
        </w:rPr>
        <w:t xml:space="preserve"> </w:t>
      </w:r>
      <w:r>
        <w:rPr>
          <w:rFonts w:ascii="Times New Roman" w:eastAsia="仿宋_GB2312" w:hAnsi="Times New Roman" w:cs="Times New Roman"/>
          <w:color w:val="000000" w:themeColor="text1"/>
          <w:sz w:val="32"/>
          <w:szCs w:val="32"/>
        </w:rPr>
        <w:t>: accès en libre-service gratuit aux informations sur les biens immobiliers à vendre</w:t>
      </w:r>
    </w:p>
    <w:p w:rsidR="0066396F" w:rsidRPr="00C92B48" w:rsidRDefault="00B611C3" w:rsidP="00B611C3">
      <w:pPr>
        <w:pStyle w:val="ListParagraph1"/>
        <w:widowControl/>
        <w:spacing w:before="100" w:beforeAutospacing="1" w:after="100" w:afterAutospacing="1" w:line="360" w:lineRule="auto"/>
        <w:ind w:firstLineChars="0" w:firstLine="0"/>
        <w:jc w:val="left"/>
        <w:rPr>
          <w:rFonts w:ascii="Times New Roman" w:hAnsi="Times New Roman"/>
          <w:kern w:val="0"/>
          <w:sz w:val="24"/>
        </w:rPr>
      </w:pPr>
      <w:r>
        <w:rPr>
          <w:rFonts w:ascii="Times New Roman" w:eastAsia="仿宋_GB2312" w:hAnsi="Times New Roman" w:hint="eastAsia"/>
          <w:color w:val="000000" w:themeColor="text1"/>
          <w:sz w:val="24"/>
          <w:lang w:val="fr-FR"/>
        </w:rPr>
        <w:t>1.</w:t>
      </w:r>
      <w:r w:rsidR="00087B63">
        <w:rPr>
          <w:rFonts w:ascii="Times New Roman" w:eastAsia="仿宋_GB2312" w:hAnsi="Times New Roman"/>
          <w:color w:val="000000" w:themeColor="text1"/>
          <w:sz w:val="24"/>
          <w:lang w:val="fr-FR"/>
        </w:rPr>
        <w:t xml:space="preserve"> Les informations d'enregistrement immobilier (y compris les informations sur la propriété, les informations sur l'état naturel, s'il existe une charge </w:t>
      </w:r>
      <w:r w:rsidR="00087B63" w:rsidRPr="00C92B48">
        <w:rPr>
          <w:rFonts w:ascii="Times New Roman" w:eastAsia="仿宋_GB2312" w:hAnsi="Times New Roman"/>
          <w:color w:val="000000" w:themeColor="text1"/>
          <w:sz w:val="24"/>
          <w:lang w:val="fr-FR"/>
        </w:rPr>
        <w:t>sur le bien immobilier</w:t>
      </w:r>
      <w:r w:rsidR="00087B63">
        <w:rPr>
          <w:rFonts w:ascii="Times New Roman" w:eastAsia="仿宋_GB2312" w:hAnsi="Times New Roman"/>
          <w:color w:val="000000" w:themeColor="text1"/>
          <w:sz w:val="24"/>
          <w:lang w:val="fr-FR"/>
        </w:rPr>
        <w:t xml:space="preserve"> et les restrictions judiciaires, etc.) sont fournies gratuitement par les centres d'enregistrement immobilier via la </w:t>
      </w:r>
      <w:r w:rsidR="00087B63" w:rsidRPr="00C92B48">
        <w:rPr>
          <w:rFonts w:ascii="Times New Roman" w:eastAsia="仿宋_GB2312" w:hAnsi="Times New Roman"/>
          <w:color w:val="000000" w:themeColor="text1"/>
          <w:sz w:val="24"/>
          <w:lang w:val="fr-FR"/>
        </w:rPr>
        <w:t>« Plate-forme de services en ligne pour l'enregistrement des biens immobiliers à Beijing »</w:t>
      </w:r>
      <w:r w:rsidR="00087B63">
        <w:rPr>
          <w:rFonts w:ascii="Times New Roman" w:eastAsia="仿宋_GB2312" w:hAnsi="Times New Roman"/>
          <w:color w:val="000000" w:themeColor="text1"/>
          <w:sz w:val="24"/>
          <w:lang w:val="fr-FR"/>
        </w:rPr>
        <w:t xml:space="preserve"> (site Web </w:t>
      </w:r>
      <w:r w:rsidR="00087B63">
        <w:rPr>
          <w:rFonts w:ascii="Times New Roman" w:eastAsia="仿宋_GB2312" w:hAnsi="Times New Roman"/>
          <w:color w:val="000000" w:themeColor="text1"/>
          <w:sz w:val="24"/>
          <w:lang w:val="fr-FR"/>
        </w:rPr>
        <w:t>：</w:t>
      </w:r>
      <w:r w:rsidR="00087B63" w:rsidRPr="00C92B48">
        <w:rPr>
          <w:rFonts w:ascii="Times New Roman" w:eastAsia="仿宋_GB2312" w:hAnsi="Times New Roman"/>
          <w:color w:val="000000" w:themeColor="text1"/>
          <w:sz w:val="24"/>
          <w:lang w:val="fr-FR"/>
        </w:rPr>
        <w:t>http://bdc.ghzrzyw.beijing.gov.cn/eo/user/index.go</w:t>
      </w:r>
      <w:r w:rsidR="00087B63">
        <w:rPr>
          <w:rFonts w:ascii="Times New Roman" w:eastAsia="仿宋_GB2312" w:hAnsi="Times New Roman"/>
          <w:color w:val="000000" w:themeColor="text1"/>
          <w:sz w:val="24"/>
          <w:lang w:val="fr-FR"/>
        </w:rPr>
        <w:t xml:space="preserve">) ou l'application </w:t>
      </w:r>
      <w:r w:rsidR="00087B63" w:rsidRPr="00C92B48">
        <w:rPr>
          <w:rFonts w:ascii="Times New Roman" w:eastAsia="仿宋_GB2312" w:hAnsi="Times New Roman"/>
          <w:color w:val="000000" w:themeColor="text1"/>
          <w:sz w:val="24"/>
          <w:lang w:val="fr-FR"/>
        </w:rPr>
        <w:t>« Centre d'enregistrement des biens immobiliers à Beijing »</w:t>
      </w:r>
      <w:r w:rsidR="00087B63">
        <w:rPr>
          <w:rFonts w:ascii="Times New Roman" w:eastAsia="仿宋_GB2312" w:hAnsi="Times New Roman"/>
          <w:color w:val="000000" w:themeColor="text1"/>
          <w:sz w:val="24"/>
          <w:lang w:val="fr-FR"/>
        </w:rPr>
        <w:t>, l'app</w:t>
      </w:r>
      <w:r w:rsidR="00087B63" w:rsidRPr="00C92B48">
        <w:rPr>
          <w:rFonts w:ascii="Times New Roman" w:eastAsia="仿宋_GB2312" w:hAnsi="Times New Roman"/>
          <w:color w:val="000000" w:themeColor="text1"/>
          <w:sz w:val="24"/>
          <w:lang w:val="fr-FR"/>
        </w:rPr>
        <w:t xml:space="preserve">lication « </w:t>
      </w:r>
      <w:r w:rsidR="00087B63">
        <w:rPr>
          <w:rFonts w:ascii="Times New Roman" w:eastAsia="仿宋_GB2312" w:hAnsi="Times New Roman" w:hint="eastAsia"/>
          <w:color w:val="000000" w:themeColor="text1"/>
          <w:sz w:val="24"/>
        </w:rPr>
        <w:t>北京通</w:t>
      </w:r>
      <w:r w:rsidR="00087B63" w:rsidRPr="00C92B48">
        <w:rPr>
          <w:rFonts w:ascii="Times New Roman" w:eastAsia="仿宋_GB2312" w:hAnsi="Times New Roman"/>
          <w:color w:val="000000" w:themeColor="text1"/>
          <w:sz w:val="24"/>
          <w:lang w:val="fr-FR"/>
        </w:rPr>
        <w:t xml:space="preserve"> (passe-partout Beijing) » </w:t>
      </w:r>
      <w:r w:rsidR="00087B63">
        <w:rPr>
          <w:rFonts w:ascii="Times New Roman" w:eastAsia="仿宋_GB2312" w:hAnsi="Times New Roman"/>
          <w:color w:val="000000" w:themeColor="text1"/>
          <w:sz w:val="24"/>
          <w:lang w:val="fr-FR"/>
        </w:rPr>
        <w:t xml:space="preserve">pour une requête en ligne. Le demandeur peut se rendre aux guichets </w:t>
      </w:r>
      <w:r w:rsidR="00087B63" w:rsidRPr="00C92B48">
        <w:rPr>
          <w:rFonts w:ascii="Times New Roman" w:hAnsi="Times New Roman"/>
          <w:kern w:val="0"/>
          <w:sz w:val="24"/>
          <w:szCs w:val="24"/>
          <w:lang w:val="fr-FR"/>
        </w:rPr>
        <w:t>et à l'appareil de requête en libre-service du centre d'enregistrement</w:t>
      </w:r>
      <w:r w:rsidR="00087B63">
        <w:rPr>
          <w:rFonts w:ascii="Times New Roman" w:hAnsi="Times New Roman"/>
          <w:kern w:val="0"/>
          <w:sz w:val="24"/>
          <w:szCs w:val="24"/>
          <w:lang w:val="fr-FR"/>
        </w:rPr>
        <w:t xml:space="preserve"> du bien immobilier</w:t>
      </w:r>
      <w:r w:rsidR="00087B63" w:rsidRPr="00C92B48">
        <w:rPr>
          <w:rFonts w:ascii="Times New Roman" w:hAnsi="Times New Roman"/>
          <w:kern w:val="0"/>
          <w:sz w:val="24"/>
          <w:szCs w:val="24"/>
          <w:lang w:val="fr-FR"/>
        </w:rPr>
        <w:t xml:space="preserve"> </w:t>
      </w:r>
      <w:r w:rsidR="00087B63">
        <w:rPr>
          <w:rFonts w:ascii="Times New Roman" w:eastAsia="仿宋_GB2312" w:hAnsi="Times New Roman"/>
          <w:color w:val="000000" w:themeColor="text1"/>
          <w:sz w:val="24"/>
          <w:lang w:val="fr-FR"/>
        </w:rPr>
        <w:t xml:space="preserve">de divers districts </w:t>
      </w:r>
      <w:r w:rsidR="00087B63" w:rsidRPr="00C92B48">
        <w:rPr>
          <w:rFonts w:ascii="Times New Roman" w:hAnsi="Times New Roman"/>
          <w:kern w:val="0"/>
          <w:sz w:val="24"/>
          <w:szCs w:val="24"/>
          <w:lang w:val="fr-FR"/>
        </w:rPr>
        <w:t>pour consulter les informations</w:t>
      </w:r>
      <w:r w:rsidR="00087B63" w:rsidRPr="00C92B48">
        <w:rPr>
          <w:rFonts w:ascii="Times New Roman" w:eastAsia="仿宋_GB2312" w:hAnsi="Times New Roman"/>
          <w:color w:val="000000" w:themeColor="text1"/>
          <w:sz w:val="24"/>
          <w:lang w:val="fr-FR"/>
        </w:rPr>
        <w:t>.</w:t>
      </w:r>
    </w:p>
    <w:p w:rsidR="0066396F" w:rsidRPr="00C92B48" w:rsidRDefault="00087B63" w:rsidP="00B611C3">
      <w:pPr>
        <w:pStyle w:val="a8"/>
        <w:spacing w:line="360" w:lineRule="auto"/>
        <w:ind w:firstLineChars="0" w:firstLine="0"/>
        <w:jc w:val="left"/>
        <w:rPr>
          <w:rFonts w:ascii="Times New Roman" w:eastAsia="仿宋_GB2312" w:hAnsi="Times New Roman" w:cs="Times New Roman"/>
          <w:color w:val="000000" w:themeColor="text1"/>
          <w:sz w:val="24"/>
          <w:lang w:val="en-US"/>
        </w:rPr>
      </w:pPr>
      <w:r>
        <w:rPr>
          <w:rFonts w:ascii="Times New Roman" w:eastAsia="仿宋_GB2312" w:hAnsi="Times New Roman" w:cs="Times New Roman"/>
          <w:color w:val="000000" w:themeColor="text1"/>
          <w:sz w:val="24"/>
        </w:rPr>
        <w:t xml:space="preserve">2. Le modèle de contrat de transaction immobilière peut être téléchargé gratuitement sur le site officiel de la Commission municipale du logement et du développement urbain et rural de Beijing. </w:t>
      </w:r>
      <w:r w:rsidRPr="00C92B48">
        <w:rPr>
          <w:rFonts w:ascii="Times New Roman" w:eastAsia="仿宋_GB2312" w:hAnsi="Times New Roman" w:cs="Times New Roman"/>
          <w:color w:val="000000" w:themeColor="text1"/>
          <w:sz w:val="24"/>
          <w:lang w:val="en-US"/>
        </w:rPr>
        <w:t>Site Web</w:t>
      </w:r>
      <w:r>
        <w:rPr>
          <w:rFonts w:ascii="Times New Roman" w:eastAsia="仿宋_GB2312" w:hAnsi="Times New Roman" w:cs="Times New Roman"/>
          <w:color w:val="000000" w:themeColor="text1"/>
          <w:sz w:val="24"/>
          <w:lang w:val="en-US"/>
        </w:rPr>
        <w:t xml:space="preserve"> </w:t>
      </w:r>
      <w:r w:rsidRPr="00C92B48">
        <w:rPr>
          <w:rFonts w:ascii="Times New Roman" w:eastAsia="仿宋_GB2312" w:hAnsi="Times New Roman" w:cs="Times New Roman"/>
          <w:color w:val="000000" w:themeColor="text1"/>
          <w:sz w:val="24"/>
          <w:lang w:val="en-US"/>
        </w:rPr>
        <w:t>: http://zjw.beijing.gov.cn/bjjs/fwgl/fdcjy/fdcjyxxgs/xzhtsfwb/index.shtml</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3. Les règlements des divisions du district impliquant le bien immobilier peuvent être consultées gratuitement sur le site officiel de la Commission municipale de la planification et des ressources naturelles de Beijing. Site Web : http://ghzrzyw.beijing.gov.cn/zhengwuxinxi/ghcg/xxgh/</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4. Les informations sur les impôts dûs des entreprises peuvent être consultées gratuitement sur le site Web officiel de l'Administration municipale des affaires fiscales de Beijing de l'Administration nationale des affaires fiscales. Site Web : http://beijing.chinatax.gov.cn/bjsat/office/jsp/qsgg/query.jsp</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5. Le paiement des factures de services publics liés au bien immobilier peut être consulté gratuitement par les moyens suivants :</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lastRenderedPageBreak/>
        <w:t xml:space="preserve">Consommation d'électricité : ligne de service </w:t>
      </w:r>
      <w:r w:rsidRPr="00B611C3">
        <w:rPr>
          <w:rFonts w:ascii="Times New Roman" w:eastAsia="仿宋_GB2312" w:hAnsi="Times New Roman" w:hint="eastAsia"/>
          <w:color w:val="000000" w:themeColor="text1"/>
          <w:sz w:val="24"/>
          <w:lang w:val="fr-FR"/>
        </w:rPr>
        <w:t>+86-10-</w:t>
      </w:r>
      <w:r w:rsidRPr="00B611C3">
        <w:rPr>
          <w:rFonts w:ascii="Times New Roman" w:eastAsia="仿宋_GB2312" w:hAnsi="Times New Roman"/>
          <w:color w:val="000000" w:themeColor="text1"/>
          <w:sz w:val="24"/>
          <w:lang w:val="fr-FR"/>
        </w:rPr>
        <w:t xml:space="preserve">95598, application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Internet State Grid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points de vente d'électricité, site Web interactif intelligent 95598 (http://www.95598.cn/person/as/index.shtml)</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 xml:space="preserve">Consommation d'eau : ligne de service </w:t>
      </w:r>
      <w:r w:rsidRPr="00B611C3">
        <w:rPr>
          <w:rFonts w:ascii="Times New Roman" w:eastAsia="仿宋_GB2312" w:hAnsi="Times New Roman" w:hint="eastAsia"/>
          <w:color w:val="000000" w:themeColor="text1"/>
          <w:sz w:val="24"/>
          <w:lang w:val="fr-FR"/>
        </w:rPr>
        <w:t>+86-10-</w:t>
      </w:r>
      <w:r w:rsidRPr="00B611C3">
        <w:rPr>
          <w:rFonts w:ascii="Times New Roman" w:eastAsia="仿宋_GB2312" w:hAnsi="Times New Roman"/>
          <w:color w:val="000000" w:themeColor="text1"/>
          <w:sz w:val="24"/>
          <w:lang w:val="fr-FR"/>
        </w:rPr>
        <w:t xml:space="preserve">96116, compte officiel WeChat du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Beijing Water Supply Group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points de vente locaux des sociétés d'approvisionnement en eau</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 xml:space="preserve">Consommation de gaz : ligne de service </w:t>
      </w:r>
      <w:r w:rsidRPr="00B611C3">
        <w:rPr>
          <w:rFonts w:ascii="Times New Roman" w:eastAsia="仿宋_GB2312" w:hAnsi="Times New Roman" w:hint="eastAsia"/>
          <w:color w:val="000000" w:themeColor="text1"/>
          <w:sz w:val="24"/>
          <w:lang w:val="fr-FR"/>
        </w:rPr>
        <w:t>+86-10-</w:t>
      </w:r>
      <w:r w:rsidRPr="00B611C3">
        <w:rPr>
          <w:rFonts w:ascii="Times New Roman" w:eastAsia="仿宋_GB2312" w:hAnsi="Times New Roman"/>
          <w:color w:val="000000" w:themeColor="text1"/>
          <w:sz w:val="24"/>
          <w:lang w:val="fr-FR"/>
        </w:rPr>
        <w:t xml:space="preserve">96777, application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Beijing Gas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points de vente locaux de gaz </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 xml:space="preserve">Frais liés au câble Gehua : ligne de service Gehua </w:t>
      </w:r>
      <w:r w:rsidRPr="00B611C3">
        <w:rPr>
          <w:rFonts w:ascii="Times New Roman" w:eastAsia="仿宋_GB2312" w:hAnsi="Times New Roman" w:hint="eastAsia"/>
          <w:color w:val="000000" w:themeColor="text1"/>
          <w:sz w:val="24"/>
          <w:lang w:val="fr-FR"/>
        </w:rPr>
        <w:t>+86-10-</w:t>
      </w:r>
      <w:r w:rsidRPr="00B611C3">
        <w:rPr>
          <w:rFonts w:ascii="Times New Roman" w:eastAsia="仿宋_GB2312" w:hAnsi="Times New Roman"/>
          <w:color w:val="000000" w:themeColor="text1"/>
          <w:sz w:val="24"/>
          <w:lang w:val="fr-FR"/>
        </w:rPr>
        <w:t>96196, halls d'affaires locaux, halls d'affaires en ligne Gehua (Site Web : https://www.96196.tv/)</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 xml:space="preserve">6. La licence commerciale de l'entreprise a été révoquée ou annulée ou non, vous pouvez vérifier via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le système national de publication des informations liées au crédit des entreprises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(Site Web : http://www.gsxt.gov.cn/index.html), et les entreprises de Beijing peuvent également utiliser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le réseau des informations liées au crédit des entreprises de Beijing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(site Web: http://qyxy.scjgj.beijing.gov.cn/) pour des demandes de renseignements gratuites. Des informations pour savoir si une entreprise est en cours de faillite peuvent être consultées gratuitement via le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réseau national d'information sur les affaires de faillite et de réorganisation des entreprises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(Site Web : http://pccz.court.gov.cn/pcajxxw/index/xxwsy).</w:t>
      </w:r>
    </w:p>
    <w:p w:rsidR="0066396F" w:rsidRPr="00B611C3" w:rsidRDefault="00087B63" w:rsidP="00B611C3">
      <w:pPr>
        <w:pStyle w:val="ListParagraph1"/>
        <w:widowControl/>
        <w:spacing w:before="100" w:beforeAutospacing="1" w:after="100" w:afterAutospacing="1" w:line="360" w:lineRule="auto"/>
        <w:ind w:firstLineChars="0" w:firstLine="0"/>
        <w:jc w:val="left"/>
        <w:rPr>
          <w:rFonts w:ascii="Times New Roman" w:eastAsia="仿宋_GB2312" w:hAnsi="Times New Roman"/>
          <w:color w:val="000000" w:themeColor="text1"/>
          <w:sz w:val="24"/>
          <w:lang w:val="fr-FR"/>
        </w:rPr>
      </w:pPr>
      <w:r w:rsidRPr="00B611C3">
        <w:rPr>
          <w:rFonts w:ascii="Times New Roman" w:eastAsia="仿宋_GB2312" w:hAnsi="Times New Roman"/>
          <w:color w:val="000000" w:themeColor="text1"/>
          <w:sz w:val="24"/>
          <w:lang w:val="fr-FR"/>
        </w:rPr>
        <w:t xml:space="preserve">Les informations ci-dessus peuvent être retrouvées dans le module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Requête intégrée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de la section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Requête d'informations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sur la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w:t>
      </w:r>
      <w:r w:rsidRPr="00B611C3">
        <w:rPr>
          <w:rFonts w:ascii="Times New Roman" w:eastAsia="仿宋_GB2312" w:hAnsi="Times New Roman" w:hint="eastAsia"/>
          <w:color w:val="000000" w:themeColor="text1"/>
          <w:sz w:val="24"/>
          <w:lang w:val="fr-FR"/>
        </w:rPr>
        <w:t xml:space="preserve">Plate-forme de services en ligne pour l'enregistrement des biens immobiliers </w:t>
      </w:r>
      <w:r w:rsidRPr="00B611C3">
        <w:rPr>
          <w:rFonts w:ascii="Times New Roman" w:eastAsia="仿宋_GB2312" w:hAnsi="Times New Roman"/>
          <w:color w:val="000000" w:themeColor="text1"/>
          <w:sz w:val="24"/>
          <w:lang w:val="fr-FR"/>
        </w:rPr>
        <w:t>à</w:t>
      </w:r>
      <w:r w:rsidRPr="00B611C3">
        <w:rPr>
          <w:rFonts w:ascii="Times New Roman" w:eastAsia="仿宋_GB2312" w:hAnsi="Times New Roman" w:hint="eastAsia"/>
          <w:color w:val="000000" w:themeColor="text1"/>
          <w:sz w:val="24"/>
          <w:lang w:val="fr-FR"/>
        </w:rPr>
        <w:t xml:space="preserve"> Beijing</w:t>
      </w:r>
      <w:r w:rsidRPr="00B611C3">
        <w:rPr>
          <w:rFonts w:ascii="Times New Roman" w:eastAsia="仿宋_GB2312" w:hAnsi="Times New Roman"/>
          <w:color w:val="000000" w:themeColor="text1"/>
          <w:sz w:val="24"/>
          <w:lang w:val="fr-FR"/>
        </w:rPr>
        <w:t xml:space="preserve">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dans la rubrique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Points d'accès au service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Enregistrement immobilier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du site Web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xml:space="preserve"> B</w:t>
      </w:r>
      <w:r w:rsidRPr="00B611C3">
        <w:rPr>
          <w:rFonts w:ascii="Times New Roman" w:eastAsia="仿宋_GB2312" w:hAnsi="Times New Roman" w:hint="eastAsia"/>
          <w:color w:val="000000" w:themeColor="text1"/>
          <w:sz w:val="24"/>
          <w:lang w:val="fr-FR"/>
        </w:rPr>
        <w:t>eijin</w:t>
      </w:r>
      <w:r w:rsidRPr="00B611C3">
        <w:rPr>
          <w:rFonts w:ascii="Times New Roman" w:eastAsia="仿宋_GB2312" w:hAnsi="Times New Roman"/>
          <w:color w:val="000000" w:themeColor="text1"/>
          <w:sz w:val="24"/>
          <w:lang w:val="fr-FR"/>
        </w:rPr>
        <w:t xml:space="preserve">g.gov.cn </w:t>
      </w:r>
      <w:r w:rsidRPr="00B611C3">
        <w:rPr>
          <w:rFonts w:ascii="Times New Roman" w:eastAsia="仿宋_GB2312" w:hAnsi="Times New Roman" w:hint="eastAsia"/>
          <w:color w:val="000000" w:themeColor="text1"/>
          <w:sz w:val="24"/>
          <w:lang w:val="fr-FR"/>
        </w:rPr>
        <w:t>»</w:t>
      </w:r>
      <w:r w:rsidRPr="00B611C3">
        <w:rPr>
          <w:rFonts w:ascii="Times New Roman" w:eastAsia="仿宋_GB2312" w:hAnsi="Times New Roman"/>
          <w:color w:val="000000" w:themeColor="text1"/>
          <w:sz w:val="24"/>
          <w:lang w:val="fr-FR"/>
        </w:rPr>
        <w:t>. Notre Commission apportera des corrections ou des mises à jour en temps opportun en fonction des changements dans les canaux d'obtention des informations pertinentes.</w:t>
      </w:r>
      <w:bookmarkStart w:id="0" w:name="_GoBack"/>
      <w:bookmarkEnd w:id="0"/>
    </w:p>
    <w:sectPr w:rsidR="0066396F" w:rsidRPr="00B611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6C8C"/>
    <w:multiLevelType w:val="multilevel"/>
    <w:tmpl w:val="062C6C8C"/>
    <w:lvl w:ilvl="0">
      <w:start w:val="1"/>
      <w:numFmt w:val="decimal"/>
      <w:lvlText w:val="%1."/>
      <w:lvlJc w:val="left"/>
      <w:pPr>
        <w:ind w:left="840" w:hanging="360"/>
      </w:pPr>
      <w:rPr>
        <w:rFonts w:ascii="Times New Roman" w:hAnsi="Times New Roman" w:cs="Times New Roman" w:hint="default"/>
      </w:rPr>
    </w:lvl>
    <w:lvl w:ilvl="1">
      <w:start w:val="1"/>
      <w:numFmt w:val="lowerLetter"/>
      <w:lvlText w:val="%2)"/>
      <w:lvlJc w:val="left"/>
      <w:pPr>
        <w:ind w:left="1320" w:hanging="420"/>
      </w:pPr>
      <w:rPr>
        <w:rFonts w:ascii="Times New Roman" w:hAnsi="Times New Roman" w:cs="Times New Roman" w:hint="default"/>
      </w:rPr>
    </w:lvl>
    <w:lvl w:ilvl="2">
      <w:start w:val="1"/>
      <w:numFmt w:val="lowerRoman"/>
      <w:lvlText w:val="%3."/>
      <w:lvlJc w:val="right"/>
      <w:pPr>
        <w:ind w:left="1740" w:hanging="420"/>
      </w:pPr>
      <w:rPr>
        <w:rFonts w:ascii="Times New Roman" w:hAnsi="Times New Roman" w:cs="Times New Roman" w:hint="default"/>
      </w:rPr>
    </w:lvl>
    <w:lvl w:ilvl="3">
      <w:start w:val="1"/>
      <w:numFmt w:val="decimal"/>
      <w:lvlText w:val="%4."/>
      <w:lvlJc w:val="left"/>
      <w:pPr>
        <w:ind w:left="2160" w:hanging="420"/>
      </w:pPr>
      <w:rPr>
        <w:rFonts w:ascii="Times New Roman" w:hAnsi="Times New Roman" w:cs="Times New Roman" w:hint="default"/>
      </w:rPr>
    </w:lvl>
    <w:lvl w:ilvl="4">
      <w:start w:val="1"/>
      <w:numFmt w:val="lowerLetter"/>
      <w:lvlText w:val="%5)"/>
      <w:lvlJc w:val="left"/>
      <w:pPr>
        <w:ind w:left="2580" w:hanging="420"/>
      </w:pPr>
      <w:rPr>
        <w:rFonts w:ascii="Times New Roman" w:hAnsi="Times New Roman" w:cs="Times New Roman" w:hint="default"/>
      </w:rPr>
    </w:lvl>
    <w:lvl w:ilvl="5">
      <w:start w:val="1"/>
      <w:numFmt w:val="lowerRoman"/>
      <w:lvlText w:val="%6."/>
      <w:lvlJc w:val="right"/>
      <w:pPr>
        <w:ind w:left="3000" w:hanging="420"/>
      </w:pPr>
      <w:rPr>
        <w:rFonts w:ascii="Times New Roman" w:hAnsi="Times New Roman" w:cs="Times New Roman" w:hint="default"/>
      </w:rPr>
    </w:lvl>
    <w:lvl w:ilvl="6">
      <w:start w:val="1"/>
      <w:numFmt w:val="decimal"/>
      <w:lvlText w:val="%7."/>
      <w:lvlJc w:val="left"/>
      <w:pPr>
        <w:ind w:left="3420" w:hanging="420"/>
      </w:pPr>
      <w:rPr>
        <w:rFonts w:ascii="Times New Roman" w:hAnsi="Times New Roman" w:cs="Times New Roman" w:hint="default"/>
      </w:rPr>
    </w:lvl>
    <w:lvl w:ilvl="7">
      <w:start w:val="1"/>
      <w:numFmt w:val="lowerLetter"/>
      <w:lvlText w:val="%8)"/>
      <w:lvlJc w:val="left"/>
      <w:pPr>
        <w:ind w:left="3840" w:hanging="420"/>
      </w:pPr>
      <w:rPr>
        <w:rFonts w:ascii="Times New Roman" w:hAnsi="Times New Roman" w:cs="Times New Roman" w:hint="default"/>
      </w:rPr>
    </w:lvl>
    <w:lvl w:ilvl="8">
      <w:start w:val="1"/>
      <w:numFmt w:val="lowerRoman"/>
      <w:lvlText w:val="%9."/>
      <w:lvlJc w:val="right"/>
      <w:pPr>
        <w:ind w:left="4260" w:hanging="420"/>
      </w:pPr>
      <w:rPr>
        <w:rFonts w:ascii="Times New Roman" w:hAnsi="Times New Roman" w:cs="Times New Roman" w:hint="default"/>
      </w:rPr>
    </w:lvl>
  </w:abstractNum>
  <w:abstractNum w:abstractNumId="1">
    <w:nsid w:val="4A903E34"/>
    <w:multiLevelType w:val="multilevel"/>
    <w:tmpl w:val="4A903E34"/>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rson w15:author="CRIonline">
    <w15:presenceInfo w15:providerId="None" w15:userId="CRIonl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03B2A"/>
    <w:rsid w:val="000477B4"/>
    <w:rsid w:val="000724BB"/>
    <w:rsid w:val="00087B63"/>
    <w:rsid w:val="000B421C"/>
    <w:rsid w:val="00127B4E"/>
    <w:rsid w:val="00191F49"/>
    <w:rsid w:val="00211F0E"/>
    <w:rsid w:val="00293B92"/>
    <w:rsid w:val="003068CB"/>
    <w:rsid w:val="00312764"/>
    <w:rsid w:val="00486381"/>
    <w:rsid w:val="00496BB5"/>
    <w:rsid w:val="005508AF"/>
    <w:rsid w:val="0066396F"/>
    <w:rsid w:val="00790D12"/>
    <w:rsid w:val="007A25B1"/>
    <w:rsid w:val="00864029"/>
    <w:rsid w:val="0090207B"/>
    <w:rsid w:val="009265E1"/>
    <w:rsid w:val="00980796"/>
    <w:rsid w:val="00982A5F"/>
    <w:rsid w:val="00984122"/>
    <w:rsid w:val="00AD1797"/>
    <w:rsid w:val="00B611C3"/>
    <w:rsid w:val="00C92B48"/>
    <w:rsid w:val="00CB1B23"/>
    <w:rsid w:val="00CC66C6"/>
    <w:rsid w:val="00D16907"/>
    <w:rsid w:val="00D368D4"/>
    <w:rsid w:val="00DC13C0"/>
    <w:rsid w:val="00DE4520"/>
    <w:rsid w:val="00E322F0"/>
    <w:rsid w:val="00E61C2A"/>
    <w:rsid w:val="0442551D"/>
    <w:rsid w:val="09DC3CCE"/>
    <w:rsid w:val="0A521DF8"/>
    <w:rsid w:val="0D31777A"/>
    <w:rsid w:val="1B404A73"/>
    <w:rsid w:val="1B6F08C1"/>
    <w:rsid w:val="1DBD54CB"/>
    <w:rsid w:val="218A09BF"/>
    <w:rsid w:val="21B35BFB"/>
    <w:rsid w:val="224271A9"/>
    <w:rsid w:val="25B62F50"/>
    <w:rsid w:val="2625431A"/>
    <w:rsid w:val="263F1D72"/>
    <w:rsid w:val="296C56DD"/>
    <w:rsid w:val="29AE4BC4"/>
    <w:rsid w:val="2B8A30C8"/>
    <w:rsid w:val="2D0D4C5E"/>
    <w:rsid w:val="2E7D4D85"/>
    <w:rsid w:val="36103B2A"/>
    <w:rsid w:val="39EB084E"/>
    <w:rsid w:val="39FD667A"/>
    <w:rsid w:val="3AE40E03"/>
    <w:rsid w:val="3B0D32C5"/>
    <w:rsid w:val="3CC43B2D"/>
    <w:rsid w:val="3EDA17A9"/>
    <w:rsid w:val="411E330E"/>
    <w:rsid w:val="41FD1A87"/>
    <w:rsid w:val="431A7879"/>
    <w:rsid w:val="43345AF6"/>
    <w:rsid w:val="43B75026"/>
    <w:rsid w:val="43DF36EB"/>
    <w:rsid w:val="453B23CD"/>
    <w:rsid w:val="4606225F"/>
    <w:rsid w:val="46557374"/>
    <w:rsid w:val="4BB70273"/>
    <w:rsid w:val="4C805D6B"/>
    <w:rsid w:val="4F19159D"/>
    <w:rsid w:val="528C4277"/>
    <w:rsid w:val="53556866"/>
    <w:rsid w:val="54152322"/>
    <w:rsid w:val="545E68AC"/>
    <w:rsid w:val="58F24F18"/>
    <w:rsid w:val="5E612485"/>
    <w:rsid w:val="5F57556A"/>
    <w:rsid w:val="5FF003FE"/>
    <w:rsid w:val="60C43CD8"/>
    <w:rsid w:val="62176382"/>
    <w:rsid w:val="646E7A48"/>
    <w:rsid w:val="65CA4A34"/>
    <w:rsid w:val="67F867D4"/>
    <w:rsid w:val="6E7B49BD"/>
    <w:rsid w:val="6F73618C"/>
    <w:rsid w:val="704D7D45"/>
    <w:rsid w:val="70F06F67"/>
    <w:rsid w:val="753C3567"/>
    <w:rsid w:val="78D839CC"/>
    <w:rsid w:val="7DD37F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rFonts w:ascii="宋体" w:eastAsia="宋体"/>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3894C1"/>
      <w:u w:val="none"/>
    </w:rPr>
  </w:style>
  <w:style w:type="character" w:styleId="a7">
    <w:name w:val="Hyperlink"/>
    <w:basedOn w:val="a0"/>
    <w:qFormat/>
    <w:rPr>
      <w:color w:val="0000FF"/>
      <w:u w:val="single"/>
    </w:rPr>
  </w:style>
  <w:style w:type="paragraph" w:styleId="a8">
    <w:name w:val="List Paragraph"/>
    <w:basedOn w:val="a"/>
    <w:uiPriority w:val="99"/>
    <w:qFormat/>
    <w:pPr>
      <w:ind w:firstLineChars="200" w:firstLine="420"/>
    </w:pPr>
  </w:style>
  <w:style w:type="character" w:customStyle="1" w:styleId="Char">
    <w:name w:val="批注框文本 Char"/>
    <w:basedOn w:val="a0"/>
    <w:link w:val="a3"/>
    <w:semiHidden/>
    <w:qFormat/>
    <w:rPr>
      <w:rFonts w:ascii="宋体"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customStyle="1" w:styleId="ListParagraph1">
    <w:name w:val="List Paragraph1"/>
    <w:basedOn w:val="a"/>
    <w:qFormat/>
    <w:pPr>
      <w:ind w:firstLineChars="200" w:firstLine="420"/>
    </w:pPr>
    <w:rPr>
      <w:rFonts w:ascii="Calibri" w:eastAsia="宋体" w:hAnsi="Calibri" w:cs="Times New Roman"/>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semiHidden="0"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Followed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rPr>
      <w:rFonts w:ascii="宋体" w:eastAsia="宋体"/>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3894C1"/>
      <w:u w:val="none"/>
    </w:rPr>
  </w:style>
  <w:style w:type="character" w:styleId="a7">
    <w:name w:val="Hyperlink"/>
    <w:basedOn w:val="a0"/>
    <w:qFormat/>
    <w:rPr>
      <w:color w:val="0000FF"/>
      <w:u w:val="single"/>
    </w:rPr>
  </w:style>
  <w:style w:type="paragraph" w:styleId="a8">
    <w:name w:val="List Paragraph"/>
    <w:basedOn w:val="a"/>
    <w:uiPriority w:val="99"/>
    <w:qFormat/>
    <w:pPr>
      <w:ind w:firstLineChars="200" w:firstLine="420"/>
    </w:pPr>
  </w:style>
  <w:style w:type="character" w:customStyle="1" w:styleId="Char">
    <w:name w:val="批注框文本 Char"/>
    <w:basedOn w:val="a0"/>
    <w:link w:val="a3"/>
    <w:semiHidden/>
    <w:qFormat/>
    <w:rPr>
      <w:rFonts w:ascii="宋体" w:hAnsiTheme="minorHAnsi" w:cstheme="minorBidi"/>
      <w:kern w:val="2"/>
      <w:sz w:val="18"/>
      <w:szCs w:val="18"/>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paragraph" w:customStyle="1" w:styleId="ListParagraph1">
    <w:name w:val="List Paragraph1"/>
    <w:basedOn w:val="a"/>
    <w:qFormat/>
    <w:pPr>
      <w:ind w:firstLineChars="200" w:firstLine="420"/>
    </w:pPr>
    <w:rPr>
      <w:rFonts w:ascii="Calibri" w:eastAsia="宋体"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3213</Characters>
  <Application>Microsoft Office Word</Application>
  <DocSecurity>0</DocSecurity>
  <Lines>26</Lines>
  <Paragraphs>7</Paragraphs>
  <ScaleCrop>false</ScaleCrop>
  <Company>Safran China</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周坤</dc:creator>
  <cp:lastModifiedBy>魏巍</cp:lastModifiedBy>
  <cp:revision>3</cp:revision>
  <dcterms:created xsi:type="dcterms:W3CDTF">2021-01-26T04:01:00Z</dcterms:created>
  <dcterms:modified xsi:type="dcterms:W3CDTF">2021-01-26T04:06:00Z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